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5104" w14:textId="77777777" w:rsidR="000D7592" w:rsidRDefault="000D7592" w:rsidP="009A6EEE">
      <w:pPr>
        <w:spacing w:after="120" w:line="276" w:lineRule="auto"/>
        <w:jc w:val="both"/>
        <w:rPr>
          <w:rFonts w:eastAsiaTheme="majorEastAsia" w:cstheme="minorHAnsi"/>
          <w:b/>
          <w:bCs/>
        </w:rPr>
      </w:pPr>
    </w:p>
    <w:p w14:paraId="66C8DACB" w14:textId="77777777" w:rsidR="00480491" w:rsidRPr="009A6EEE" w:rsidRDefault="00480491" w:rsidP="009A6EEE">
      <w:pPr>
        <w:spacing w:after="120" w:line="276" w:lineRule="auto"/>
        <w:jc w:val="right"/>
        <w:rPr>
          <w:rFonts w:eastAsiaTheme="majorEastAsia" w:cstheme="minorHAnsi"/>
          <w:b/>
          <w:bCs/>
        </w:rPr>
      </w:pPr>
    </w:p>
    <w:p w14:paraId="2CD42426" w14:textId="47A264A2" w:rsidR="00945E40" w:rsidRPr="00A0169E" w:rsidRDefault="00945E40" w:rsidP="00E82142">
      <w:pPr>
        <w:pStyle w:val="Akapitzlist"/>
        <w:spacing w:after="120" w:line="276" w:lineRule="auto"/>
        <w:ind w:left="142"/>
        <w:jc w:val="both"/>
        <w:rPr>
          <w:rFonts w:eastAsiaTheme="majorEastAsia" w:cstheme="minorHAnsi"/>
          <w:b/>
          <w:bCs/>
          <w:u w:val="single"/>
        </w:rPr>
      </w:pPr>
      <w:r w:rsidRPr="00A0169E">
        <w:rPr>
          <w:rFonts w:eastAsiaTheme="majorEastAsia" w:cstheme="minorHAnsi"/>
          <w:b/>
          <w:bCs/>
          <w:u w:val="single"/>
        </w:rPr>
        <w:t xml:space="preserve">Szersze cele Europejskiego Zielonego </w:t>
      </w:r>
      <w:r w:rsidR="00D27F6F" w:rsidRPr="00A0169E">
        <w:rPr>
          <w:rFonts w:eastAsiaTheme="majorEastAsia" w:cstheme="minorHAnsi"/>
          <w:b/>
          <w:bCs/>
          <w:u w:val="single"/>
        </w:rPr>
        <w:t>Ł</w:t>
      </w:r>
      <w:r w:rsidRPr="00A0169E">
        <w:rPr>
          <w:rFonts w:eastAsiaTheme="majorEastAsia" w:cstheme="minorHAnsi"/>
          <w:b/>
          <w:bCs/>
          <w:u w:val="single"/>
        </w:rPr>
        <w:t>adu</w:t>
      </w:r>
    </w:p>
    <w:p w14:paraId="36E8FD81" w14:textId="58CCFFAF" w:rsidR="00B66133" w:rsidRPr="00E82142" w:rsidRDefault="006B7CFA" w:rsidP="00E82142">
      <w:pPr>
        <w:pStyle w:val="Akapitzlist"/>
        <w:numPr>
          <w:ilvl w:val="0"/>
          <w:numId w:val="5"/>
        </w:numPr>
        <w:spacing w:after="120" w:line="276" w:lineRule="auto"/>
        <w:ind w:left="142"/>
        <w:jc w:val="both"/>
        <w:rPr>
          <w:rFonts w:eastAsiaTheme="majorEastAsia" w:cstheme="minorHAnsi"/>
        </w:rPr>
      </w:pPr>
      <w:r w:rsidRPr="00E82142">
        <w:rPr>
          <w:rFonts w:eastAsiaTheme="majorEastAsia" w:cstheme="minorHAnsi"/>
        </w:rPr>
        <w:t xml:space="preserve">Wsparcie elementów wykraczających poza audyt energetyczny możliwe jest w wysokości do 15% </w:t>
      </w:r>
      <w:r w:rsidR="00945E40" w:rsidRPr="00E82142">
        <w:rPr>
          <w:rFonts w:eastAsiaTheme="majorEastAsia" w:cstheme="minorHAnsi"/>
        </w:rPr>
        <w:t>wartości udzielonej pożyczki</w:t>
      </w:r>
      <w:r w:rsidRPr="00E82142">
        <w:rPr>
          <w:rFonts w:eastAsiaTheme="majorEastAsia" w:cstheme="minorHAnsi"/>
        </w:rPr>
        <w:t>. Wspierane mogą być uzasadnione elementy niewynikające z audytów energetycznych, jeżeli realizują szersze cele Europejskiego Zielonego Ładu, takich jak:</w:t>
      </w:r>
    </w:p>
    <w:p w14:paraId="0CC514F7" w14:textId="2865E0C6" w:rsidR="004B2766" w:rsidRDefault="004B2766" w:rsidP="009A6EEE">
      <w:pPr>
        <w:pStyle w:val="Akapitzlist"/>
        <w:numPr>
          <w:ilvl w:val="0"/>
          <w:numId w:val="1"/>
        </w:numPr>
        <w:spacing w:after="120" w:line="276" w:lineRule="auto"/>
        <w:ind w:left="426" w:firstLine="0"/>
        <w:jc w:val="both"/>
        <w:rPr>
          <w:rFonts w:eastAsiaTheme="majorEastAsia" w:cstheme="minorHAnsi"/>
        </w:rPr>
      </w:pPr>
      <w:r>
        <w:rPr>
          <w:rFonts w:eastAsiaTheme="majorEastAsia" w:cstheme="minorHAnsi"/>
          <w:b/>
          <w:bCs/>
        </w:rPr>
        <w:t>r</w:t>
      </w:r>
      <w:r w:rsidR="006B7CFA" w:rsidRPr="000D7592">
        <w:rPr>
          <w:rFonts w:eastAsiaTheme="majorEastAsia" w:cstheme="minorHAnsi"/>
          <w:b/>
          <w:bCs/>
        </w:rPr>
        <w:t>ozwiązania przyczyniające się do zwiększenia powierzchni zielonych</w:t>
      </w:r>
      <w:r w:rsidR="006B7CFA" w:rsidRPr="000D7592">
        <w:rPr>
          <w:rFonts w:eastAsiaTheme="majorEastAsia" w:cstheme="minorHAnsi"/>
        </w:rPr>
        <w:t xml:space="preserve">, np.: zielone dachy, ściany, </w:t>
      </w:r>
      <w:proofErr w:type="spellStart"/>
      <w:r w:rsidR="006B7CFA" w:rsidRPr="000D7592">
        <w:rPr>
          <w:rFonts w:eastAsiaTheme="majorEastAsia" w:cstheme="minorHAnsi"/>
        </w:rPr>
        <w:t>debetonizacja</w:t>
      </w:r>
      <w:proofErr w:type="spellEnd"/>
      <w:r w:rsidR="006B7CFA" w:rsidRPr="000D7592">
        <w:rPr>
          <w:rFonts w:eastAsiaTheme="majorEastAsia" w:cstheme="minorHAnsi"/>
        </w:rPr>
        <w:t xml:space="preserve"> terenu wokół budynku</w:t>
      </w:r>
      <w:r w:rsidR="00BA07A4">
        <w:rPr>
          <w:rFonts w:eastAsiaTheme="majorEastAsia" w:cstheme="minorHAnsi"/>
        </w:rPr>
        <w:t xml:space="preserve"> (działania inne niż określone w pkt 2)</w:t>
      </w:r>
      <w:r w:rsidR="006B7CFA" w:rsidRPr="000D7592">
        <w:rPr>
          <w:rFonts w:eastAsiaTheme="majorEastAsia" w:cstheme="minorHAnsi"/>
        </w:rPr>
        <w:t>;</w:t>
      </w:r>
    </w:p>
    <w:p w14:paraId="72977B9C" w14:textId="2D24894C" w:rsidR="004B2766" w:rsidRDefault="004B2766" w:rsidP="009A6EEE">
      <w:pPr>
        <w:pStyle w:val="Akapitzlist"/>
        <w:numPr>
          <w:ilvl w:val="0"/>
          <w:numId w:val="1"/>
        </w:numPr>
        <w:spacing w:after="120" w:line="276" w:lineRule="auto"/>
        <w:ind w:left="426" w:firstLine="0"/>
        <w:jc w:val="both"/>
        <w:rPr>
          <w:rFonts w:eastAsiaTheme="majorEastAsia" w:cstheme="minorHAnsi"/>
        </w:rPr>
      </w:pPr>
      <w:r>
        <w:rPr>
          <w:rFonts w:eastAsiaTheme="majorEastAsia" w:cstheme="minorHAnsi"/>
          <w:b/>
          <w:bCs/>
        </w:rPr>
        <w:t>r</w:t>
      </w:r>
      <w:r w:rsidR="006B7CFA" w:rsidRPr="004B2766">
        <w:rPr>
          <w:rFonts w:eastAsiaTheme="majorEastAsia" w:cstheme="minorHAnsi"/>
          <w:b/>
          <w:bCs/>
        </w:rPr>
        <w:t xml:space="preserve">ozwój </w:t>
      </w:r>
      <w:proofErr w:type="spellStart"/>
      <w:r w:rsidR="006B7CFA" w:rsidRPr="004B2766">
        <w:rPr>
          <w:rFonts w:eastAsiaTheme="majorEastAsia" w:cstheme="minorHAnsi"/>
          <w:b/>
          <w:bCs/>
        </w:rPr>
        <w:t>elektromobilności</w:t>
      </w:r>
      <w:proofErr w:type="spellEnd"/>
      <w:r w:rsidR="006B7CFA" w:rsidRPr="004B2766">
        <w:rPr>
          <w:rFonts w:eastAsiaTheme="majorEastAsia" w:cstheme="minorHAnsi"/>
        </w:rPr>
        <w:t>, np.: punkty ładowania, dostosowanie wewnętrznych i zewnętrznych stanowisk postojowych w celu zapewnienia mocy przyłączeniowej</w:t>
      </w:r>
      <w:r w:rsidR="00945E40" w:rsidRPr="004B2766">
        <w:rPr>
          <w:rFonts w:eastAsiaTheme="majorEastAsia" w:cstheme="minorHAnsi"/>
        </w:rPr>
        <w:t>;</w:t>
      </w:r>
    </w:p>
    <w:p w14:paraId="5419FD6E" w14:textId="2AE648F2" w:rsidR="004B2766" w:rsidRDefault="004B2766" w:rsidP="009A6EEE">
      <w:pPr>
        <w:pStyle w:val="Akapitzlist"/>
        <w:numPr>
          <w:ilvl w:val="0"/>
          <w:numId w:val="1"/>
        </w:numPr>
        <w:spacing w:after="120" w:line="276" w:lineRule="auto"/>
        <w:ind w:left="426" w:firstLine="0"/>
        <w:jc w:val="both"/>
        <w:rPr>
          <w:rFonts w:eastAsiaTheme="majorEastAsia" w:cstheme="minorHAnsi"/>
        </w:rPr>
      </w:pPr>
      <w:r>
        <w:rPr>
          <w:rFonts w:eastAsiaTheme="majorEastAsia" w:cstheme="minorHAnsi"/>
          <w:b/>
          <w:bCs/>
        </w:rPr>
        <w:t>r</w:t>
      </w:r>
      <w:r w:rsidR="006B7CFA" w:rsidRPr="004B2766">
        <w:rPr>
          <w:rFonts w:eastAsiaTheme="majorEastAsia" w:cstheme="minorHAnsi"/>
          <w:b/>
          <w:bCs/>
        </w:rPr>
        <w:t>ozwiązania na rzecz gospodarki o obiegu zamkniętym</w:t>
      </w:r>
      <w:r w:rsidR="006B7CFA" w:rsidRPr="004B2766">
        <w:rPr>
          <w:rFonts w:eastAsiaTheme="majorEastAsia" w:cstheme="minorHAnsi"/>
        </w:rPr>
        <w:t>, np.: rozwiązania mające na celu minimalizowanie wytwarzania odpadów, zapobieganie ich powstawaniu oraz ponowne ich użycie, rozwiązania mające na celu wykorzystanie potencjału wody deszczowej, itp.</w:t>
      </w:r>
      <w:r w:rsidR="00945E40" w:rsidRPr="004B2766">
        <w:rPr>
          <w:rFonts w:eastAsiaTheme="majorEastAsia" w:cstheme="minorHAnsi"/>
        </w:rPr>
        <w:t>;</w:t>
      </w:r>
    </w:p>
    <w:p w14:paraId="02A880C3" w14:textId="2F31DB34" w:rsidR="004B2766" w:rsidRDefault="004B2766" w:rsidP="009A6EEE">
      <w:pPr>
        <w:pStyle w:val="Akapitzlist"/>
        <w:numPr>
          <w:ilvl w:val="0"/>
          <w:numId w:val="1"/>
        </w:numPr>
        <w:spacing w:after="120" w:line="276" w:lineRule="auto"/>
        <w:ind w:left="426" w:firstLine="0"/>
        <w:jc w:val="both"/>
        <w:rPr>
          <w:rFonts w:eastAsiaTheme="majorEastAsia" w:cstheme="minorHAnsi"/>
        </w:rPr>
      </w:pPr>
      <w:r>
        <w:rPr>
          <w:rFonts w:eastAsiaTheme="majorEastAsia" w:cstheme="minorHAnsi"/>
          <w:b/>
          <w:bCs/>
        </w:rPr>
        <w:t>i</w:t>
      </w:r>
      <w:r w:rsidR="006B7CFA" w:rsidRPr="004B2766">
        <w:rPr>
          <w:rFonts w:eastAsiaTheme="majorEastAsia" w:cstheme="minorHAnsi"/>
          <w:b/>
          <w:bCs/>
        </w:rPr>
        <w:t>nfrastruktura związana z dostępnością</w:t>
      </w:r>
      <w:r w:rsidR="006B7CFA" w:rsidRPr="004B2766">
        <w:rPr>
          <w:rFonts w:eastAsiaTheme="majorEastAsia" w:cstheme="minorHAnsi"/>
        </w:rPr>
        <w:t xml:space="preserve">, np.: prace związane z zapewnieniem osobom </w:t>
      </w:r>
      <w:r w:rsidR="000C4AEE" w:rsidRPr="004B2766">
        <w:rPr>
          <w:rFonts w:eastAsiaTheme="majorEastAsia" w:cstheme="minorHAnsi"/>
        </w:rPr>
        <w:t xml:space="preserve">z </w:t>
      </w:r>
      <w:r w:rsidR="006B7CFA" w:rsidRPr="004B2766">
        <w:rPr>
          <w:rFonts w:eastAsiaTheme="majorEastAsia" w:cstheme="minorHAnsi"/>
        </w:rPr>
        <w:t>niepełnospra</w:t>
      </w:r>
      <w:r w:rsidR="000C4AEE" w:rsidRPr="004B2766">
        <w:rPr>
          <w:rFonts w:eastAsiaTheme="majorEastAsia" w:cstheme="minorHAnsi"/>
        </w:rPr>
        <w:t>wnościami</w:t>
      </w:r>
      <w:r w:rsidR="006B7CFA" w:rsidRPr="004B2766">
        <w:rPr>
          <w:rFonts w:eastAsiaTheme="majorEastAsia" w:cstheme="minorHAnsi"/>
        </w:rPr>
        <w:t xml:space="preserve"> dostępu do budynku (wykonanie pochylni, podjazdu lub zainstalowanie urządzeń technicznych, zapewniających osobom</w:t>
      </w:r>
      <w:r w:rsidR="000C4AEE" w:rsidRPr="004B2766">
        <w:rPr>
          <w:rFonts w:eastAsiaTheme="majorEastAsia" w:cstheme="minorHAnsi"/>
        </w:rPr>
        <w:t xml:space="preserve"> z</w:t>
      </w:r>
      <w:r w:rsidR="006B7CFA" w:rsidRPr="004B2766">
        <w:rPr>
          <w:rFonts w:eastAsiaTheme="majorEastAsia" w:cstheme="minorHAnsi"/>
        </w:rPr>
        <w:t xml:space="preserve"> niepełnosprawn</w:t>
      </w:r>
      <w:r w:rsidR="000C4AEE" w:rsidRPr="004B2766">
        <w:rPr>
          <w:rFonts w:eastAsiaTheme="majorEastAsia" w:cstheme="minorHAnsi"/>
        </w:rPr>
        <w:t>ościami</w:t>
      </w:r>
      <w:r w:rsidR="006B7CFA" w:rsidRPr="004B2766">
        <w:rPr>
          <w:rFonts w:eastAsiaTheme="majorEastAsia" w:cstheme="minorHAnsi"/>
        </w:rPr>
        <w:t xml:space="preserve"> dostęp do budynku i na kondygnacje z pomieszczeniami użytkowymi, w tym montaż nowych wind energooszczędnych itp.);</w:t>
      </w:r>
    </w:p>
    <w:p w14:paraId="396DBD1D" w14:textId="7C204D91" w:rsidR="00E20F84" w:rsidRPr="004B2766" w:rsidRDefault="004B2766" w:rsidP="009A6EEE">
      <w:pPr>
        <w:pStyle w:val="Akapitzlist"/>
        <w:numPr>
          <w:ilvl w:val="0"/>
          <w:numId w:val="1"/>
        </w:numPr>
        <w:spacing w:after="120" w:line="276" w:lineRule="auto"/>
        <w:ind w:left="426" w:firstLine="0"/>
        <w:jc w:val="both"/>
        <w:rPr>
          <w:rFonts w:eastAsiaTheme="majorEastAsia" w:cstheme="minorHAnsi"/>
        </w:rPr>
      </w:pPr>
      <w:r>
        <w:rPr>
          <w:rFonts w:eastAsiaTheme="majorEastAsia" w:cstheme="minorHAnsi"/>
          <w:b/>
          <w:bCs/>
        </w:rPr>
        <w:t>m</w:t>
      </w:r>
      <w:r w:rsidR="006B7CFA" w:rsidRPr="004B2766">
        <w:rPr>
          <w:rFonts w:eastAsiaTheme="majorEastAsia" w:cstheme="minorHAnsi"/>
          <w:b/>
          <w:bCs/>
        </w:rPr>
        <w:t>ontaż urządzeń służących cyfryzacji budynku</w:t>
      </w:r>
      <w:r w:rsidR="006B7CFA" w:rsidRPr="004B2766">
        <w:rPr>
          <w:rFonts w:eastAsiaTheme="majorEastAsia" w:cstheme="minorHAnsi"/>
        </w:rPr>
        <w:t>, np.: systemy audiowizualne, oświetleniowe, sygnalizacji pożaru, sygnalizacji włamania i napadu, kontroli dostępu, telewizji dozorowej, nagłaśniania ewakuacyjnego</w:t>
      </w:r>
      <w:r w:rsidR="00E82142">
        <w:rPr>
          <w:rFonts w:eastAsiaTheme="majorEastAsia" w:cstheme="minorHAnsi"/>
        </w:rPr>
        <w:t>.</w:t>
      </w:r>
    </w:p>
    <w:p w14:paraId="23ADA75B" w14:textId="1B3863BF" w:rsidR="006B7CFA" w:rsidRPr="004B2766" w:rsidRDefault="006B7CFA" w:rsidP="009A6EEE">
      <w:pPr>
        <w:spacing w:after="120" w:line="276" w:lineRule="auto"/>
        <w:ind w:left="142"/>
        <w:jc w:val="both"/>
        <w:rPr>
          <w:rFonts w:eastAsiaTheme="majorEastAsia" w:cstheme="minorHAnsi"/>
          <w:b/>
          <w:bCs/>
          <w:u w:val="single"/>
        </w:rPr>
      </w:pPr>
      <w:r w:rsidRPr="004B2766">
        <w:rPr>
          <w:rFonts w:eastAsiaTheme="majorEastAsia" w:cstheme="minorHAnsi"/>
          <w:u w:val="single"/>
        </w:rPr>
        <w:t xml:space="preserve">Ww. pozycje powinny być osobno monitorowane w dokumentach umowy </w:t>
      </w:r>
      <w:r w:rsidR="00036F42">
        <w:rPr>
          <w:rFonts w:eastAsiaTheme="majorEastAsia" w:cstheme="minorHAnsi"/>
          <w:u w:val="single"/>
        </w:rPr>
        <w:t>o udzielenie pożyczki</w:t>
      </w:r>
      <w:r w:rsidRPr="004B2766">
        <w:rPr>
          <w:rFonts w:eastAsiaTheme="majorEastAsia" w:cstheme="minorHAnsi"/>
          <w:u w:val="single"/>
        </w:rPr>
        <w:t xml:space="preserve">, w celu uniknięcia zagrożenia przekroczenia dopuszczonego limitu, tj. do 15% </w:t>
      </w:r>
      <w:r w:rsidR="000C4AEE" w:rsidRPr="004B2766">
        <w:rPr>
          <w:rFonts w:eastAsiaTheme="majorEastAsia" w:cstheme="minorHAnsi"/>
          <w:u w:val="single"/>
        </w:rPr>
        <w:t>wartości pożyczki</w:t>
      </w:r>
      <w:r w:rsidRPr="004B2766">
        <w:rPr>
          <w:rFonts w:eastAsiaTheme="majorEastAsia" w:cstheme="minorHAnsi"/>
          <w:u w:val="single"/>
        </w:rPr>
        <w:t xml:space="preserve"> na każdym z etapów realizacji przedsięwzięcia, od przygotowania, aż po jego rozliczenie. </w:t>
      </w:r>
    </w:p>
    <w:p w14:paraId="0995F24D" w14:textId="77777777" w:rsidR="00A0169E" w:rsidRDefault="00A0169E" w:rsidP="009A6EEE">
      <w:pPr>
        <w:spacing w:after="0" w:line="276" w:lineRule="auto"/>
        <w:jc w:val="both"/>
        <w:rPr>
          <w:rFonts w:cs="Calibri"/>
        </w:rPr>
      </w:pPr>
    </w:p>
    <w:p w14:paraId="7EB733B9" w14:textId="73E09131" w:rsidR="00567DFA" w:rsidRPr="00480491" w:rsidRDefault="00A0169E" w:rsidP="00E82142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cs="Calibri"/>
        </w:rPr>
      </w:pPr>
      <w:r w:rsidRPr="00A0169E">
        <w:rPr>
          <w:rFonts w:cs="Calibri"/>
        </w:rPr>
        <w:t>Zgodnie z metryk</w:t>
      </w:r>
      <w:r>
        <w:rPr>
          <w:rFonts w:cs="Calibri"/>
        </w:rPr>
        <w:t>ą</w:t>
      </w:r>
      <w:r w:rsidRPr="00A0169E">
        <w:rPr>
          <w:rFonts w:cs="Calibri"/>
        </w:rPr>
        <w:t xml:space="preserve"> produktu finansowego dodatkowe elementy niewynikające z audytu energetycznego, a dedykowane </w:t>
      </w:r>
      <w:r w:rsidRPr="00A0169E">
        <w:rPr>
          <w:rFonts w:cs="Calibri"/>
          <w:u w:val="single"/>
        </w:rPr>
        <w:t>wyłącznie</w:t>
      </w:r>
      <w:r w:rsidRPr="00A0169E">
        <w:rPr>
          <w:rFonts w:cs="Calibri"/>
        </w:rPr>
        <w:t xml:space="preserve"> aspektom estetycznym i społecznym nie będą finansowane w ramach pożyczki.</w:t>
      </w:r>
      <w:r w:rsidR="00A8420A">
        <w:rPr>
          <w:rFonts w:cs="Calibri"/>
        </w:rPr>
        <w:t xml:space="preserve"> </w:t>
      </w:r>
      <w:r w:rsidRPr="00A0169E">
        <w:rPr>
          <w:rFonts w:cstheme="minorHAnsi"/>
        </w:rPr>
        <w:t xml:space="preserve">Poprzez aspekty społeczne i estetyczne należy rozumieć przede wszystkim elementy związane z zagospodarowaniem przestrzeni wokół wspieranego budynku, jak np.: elementy małej infrastruktury (ławeczki, kosze, fontanny, wiaty itp.), place zabaw, ścieżki, ogrodzenie, oświetlenie poza budynkiem, miejsca parkingowe, utwardzanie terenu itp.). Aspektem estetycznym nie wynikającym z audytu </w:t>
      </w:r>
      <w:r>
        <w:rPr>
          <w:rFonts w:cstheme="minorHAnsi"/>
        </w:rPr>
        <w:t xml:space="preserve">energetycznego </w:t>
      </w:r>
      <w:r w:rsidRPr="00A0169E">
        <w:rPr>
          <w:rFonts w:cstheme="minorHAnsi"/>
        </w:rPr>
        <w:t xml:space="preserve">mogą być również ozdobniki na budynkach, figury itp. </w:t>
      </w:r>
      <w:r w:rsidR="004B2766">
        <w:rPr>
          <w:rFonts w:cstheme="minorHAnsi"/>
        </w:rPr>
        <w:t>o</w:t>
      </w:r>
      <w:r>
        <w:rPr>
          <w:rFonts w:cstheme="minorHAnsi"/>
        </w:rPr>
        <w:t xml:space="preserve"> ile </w:t>
      </w:r>
      <w:r w:rsidR="004B2766">
        <w:rPr>
          <w:rFonts w:cstheme="minorHAnsi"/>
        </w:rPr>
        <w:t>ich</w:t>
      </w:r>
      <w:r>
        <w:rPr>
          <w:rFonts w:cstheme="minorHAnsi"/>
        </w:rPr>
        <w:t xml:space="preserve"> celem nie jest przywrócenie</w:t>
      </w:r>
      <w:r w:rsidRPr="00A0169E">
        <w:rPr>
          <w:rFonts w:cstheme="minorHAnsi"/>
        </w:rPr>
        <w:t xml:space="preserve"> stanu </w:t>
      </w:r>
      <w:r>
        <w:rPr>
          <w:rFonts w:cstheme="minorHAnsi"/>
        </w:rPr>
        <w:t>s</w:t>
      </w:r>
      <w:r w:rsidRPr="00A0169E">
        <w:rPr>
          <w:rFonts w:cstheme="minorHAnsi"/>
        </w:rPr>
        <w:t>przed inwestycj</w:t>
      </w:r>
      <w:r>
        <w:rPr>
          <w:rFonts w:cstheme="minorHAnsi"/>
        </w:rPr>
        <w:t>i</w:t>
      </w:r>
      <w:r w:rsidRPr="00A0169E">
        <w:rPr>
          <w:rFonts w:cstheme="minorHAnsi"/>
        </w:rPr>
        <w:t>.</w:t>
      </w:r>
    </w:p>
    <w:p w14:paraId="4C89F61D" w14:textId="77777777" w:rsidR="00480491" w:rsidRDefault="00480491" w:rsidP="00480491">
      <w:pPr>
        <w:pStyle w:val="Akapitzlist"/>
        <w:spacing w:after="0" w:line="276" w:lineRule="auto"/>
        <w:ind w:left="142"/>
        <w:jc w:val="both"/>
        <w:rPr>
          <w:rFonts w:cstheme="minorHAnsi"/>
        </w:rPr>
      </w:pPr>
    </w:p>
    <w:p w14:paraId="7D880415" w14:textId="77777777" w:rsidR="00480491" w:rsidRDefault="00480491" w:rsidP="00480491">
      <w:pPr>
        <w:pStyle w:val="Akapitzlist"/>
        <w:spacing w:after="0" w:line="276" w:lineRule="auto"/>
        <w:ind w:left="142"/>
        <w:jc w:val="both"/>
        <w:rPr>
          <w:rFonts w:cstheme="minorHAnsi"/>
        </w:rPr>
      </w:pPr>
    </w:p>
    <w:p w14:paraId="19973C7B" w14:textId="77777777" w:rsidR="00480491" w:rsidRPr="00480491" w:rsidRDefault="00480491" w:rsidP="00480491">
      <w:pPr>
        <w:spacing w:after="0" w:line="276" w:lineRule="auto"/>
        <w:jc w:val="both"/>
        <w:rPr>
          <w:rFonts w:cstheme="minorHAnsi"/>
        </w:rPr>
      </w:pPr>
    </w:p>
    <w:p w14:paraId="177E2C4F" w14:textId="77777777" w:rsidR="00480491" w:rsidRDefault="00480491" w:rsidP="00480491">
      <w:pPr>
        <w:pStyle w:val="Akapitzlist"/>
        <w:spacing w:after="0" w:line="276" w:lineRule="auto"/>
        <w:ind w:left="142"/>
        <w:jc w:val="both"/>
        <w:rPr>
          <w:rFonts w:cstheme="minorHAnsi"/>
        </w:rPr>
      </w:pPr>
    </w:p>
    <w:p w14:paraId="147412C7" w14:textId="77777777" w:rsidR="00480491" w:rsidRPr="00480491" w:rsidRDefault="00480491" w:rsidP="00480491">
      <w:pPr>
        <w:spacing w:after="0" w:line="276" w:lineRule="auto"/>
        <w:jc w:val="both"/>
        <w:rPr>
          <w:rFonts w:cstheme="minorHAnsi"/>
        </w:rPr>
      </w:pPr>
    </w:p>
    <w:p w14:paraId="7964B79D" w14:textId="77777777" w:rsidR="00480491" w:rsidRDefault="00480491" w:rsidP="00480491">
      <w:pPr>
        <w:pStyle w:val="Akapitzlist"/>
        <w:spacing w:after="0" w:line="276" w:lineRule="auto"/>
        <w:ind w:left="142"/>
        <w:jc w:val="both"/>
        <w:rPr>
          <w:rFonts w:cstheme="minorHAnsi"/>
        </w:rPr>
      </w:pPr>
    </w:p>
    <w:p w14:paraId="40061160" w14:textId="43A258D9" w:rsidR="00480491" w:rsidRPr="00A0169E" w:rsidRDefault="00480491" w:rsidP="00480491">
      <w:pPr>
        <w:pStyle w:val="Akapitzlist"/>
        <w:spacing w:after="0" w:line="276" w:lineRule="auto"/>
        <w:ind w:left="142"/>
        <w:jc w:val="both"/>
        <w:rPr>
          <w:rFonts w:cs="Calibri"/>
        </w:rPr>
      </w:pPr>
      <w:r>
        <w:rPr>
          <w:noProof/>
        </w:rPr>
        <w:drawing>
          <wp:inline distT="0" distB="0" distL="0" distR="0" wp14:anchorId="46375B04" wp14:editId="109F8925">
            <wp:extent cx="5760720" cy="530225"/>
            <wp:effectExtent l="0" t="0" r="0" b="3175"/>
            <wp:docPr id="2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2011CDCD-2DAD-41A7-2D1C-C513DDB447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2011CDCD-2DAD-41A7-2D1C-C513DDB447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491" w:rsidRPr="00A016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E772" w14:textId="77777777" w:rsidR="00FA1EE4" w:rsidRDefault="00FA1EE4" w:rsidP="00055701">
      <w:pPr>
        <w:spacing w:after="0" w:line="240" w:lineRule="auto"/>
      </w:pPr>
      <w:r>
        <w:separator/>
      </w:r>
    </w:p>
  </w:endnote>
  <w:endnote w:type="continuationSeparator" w:id="0">
    <w:p w14:paraId="23A61162" w14:textId="77777777" w:rsidR="00FA1EE4" w:rsidRDefault="00FA1EE4" w:rsidP="0005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E10E" w14:textId="77777777" w:rsidR="00FA1EE4" w:rsidRDefault="00FA1EE4" w:rsidP="00055701">
      <w:pPr>
        <w:spacing w:after="0" w:line="240" w:lineRule="auto"/>
      </w:pPr>
      <w:r>
        <w:separator/>
      </w:r>
    </w:p>
  </w:footnote>
  <w:footnote w:type="continuationSeparator" w:id="0">
    <w:p w14:paraId="74A91A7C" w14:textId="77777777" w:rsidR="00FA1EE4" w:rsidRDefault="00FA1EE4" w:rsidP="0005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58F5" w14:textId="2E8C502F" w:rsidR="00055701" w:rsidRDefault="00480491" w:rsidP="00480491">
    <w:pPr>
      <w:pStyle w:val="Nagwek"/>
      <w:jc w:val="right"/>
    </w:pPr>
    <w:r>
      <w:rPr>
        <w:noProof/>
      </w:rPr>
      <w:drawing>
        <wp:inline distT="0" distB="0" distL="0" distR="0" wp14:anchorId="09A022AF" wp14:editId="02771C7B">
          <wp:extent cx="1106170" cy="310515"/>
          <wp:effectExtent l="0" t="0" r="0" b="0"/>
          <wp:docPr id="2459934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BF0"/>
    <w:multiLevelType w:val="hybridMultilevel"/>
    <w:tmpl w:val="34AE55AE"/>
    <w:lvl w:ilvl="0" w:tplc="4E708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1569B"/>
    <w:multiLevelType w:val="hybridMultilevel"/>
    <w:tmpl w:val="E2A0D6D6"/>
    <w:lvl w:ilvl="0" w:tplc="5DE0D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366CB"/>
    <w:multiLevelType w:val="hybridMultilevel"/>
    <w:tmpl w:val="EFAC450C"/>
    <w:lvl w:ilvl="0" w:tplc="172A0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CD1E6B"/>
    <w:multiLevelType w:val="hybridMultilevel"/>
    <w:tmpl w:val="73E82E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3A5B22"/>
    <w:multiLevelType w:val="hybridMultilevel"/>
    <w:tmpl w:val="6226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51613">
    <w:abstractNumId w:val="3"/>
  </w:num>
  <w:num w:numId="2" w16cid:durableId="880947202">
    <w:abstractNumId w:val="2"/>
  </w:num>
  <w:num w:numId="3" w16cid:durableId="390809908">
    <w:abstractNumId w:val="0"/>
  </w:num>
  <w:num w:numId="4" w16cid:durableId="203105900">
    <w:abstractNumId w:val="4"/>
  </w:num>
  <w:num w:numId="5" w16cid:durableId="100744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A2"/>
    <w:rsid w:val="00036F42"/>
    <w:rsid w:val="00055701"/>
    <w:rsid w:val="000720E3"/>
    <w:rsid w:val="0007681D"/>
    <w:rsid w:val="000C4AEE"/>
    <w:rsid w:val="000D7592"/>
    <w:rsid w:val="00141214"/>
    <w:rsid w:val="001A57C5"/>
    <w:rsid w:val="001D3378"/>
    <w:rsid w:val="001D7692"/>
    <w:rsid w:val="00253E0B"/>
    <w:rsid w:val="0026671B"/>
    <w:rsid w:val="002705D7"/>
    <w:rsid w:val="002A1055"/>
    <w:rsid w:val="00327D9B"/>
    <w:rsid w:val="00480491"/>
    <w:rsid w:val="004B2766"/>
    <w:rsid w:val="004F20E3"/>
    <w:rsid w:val="00567DFA"/>
    <w:rsid w:val="005D58EC"/>
    <w:rsid w:val="00630A97"/>
    <w:rsid w:val="00652CDC"/>
    <w:rsid w:val="006B7CFA"/>
    <w:rsid w:val="007215A2"/>
    <w:rsid w:val="00741195"/>
    <w:rsid w:val="007470A5"/>
    <w:rsid w:val="007672C1"/>
    <w:rsid w:val="00771166"/>
    <w:rsid w:val="00792484"/>
    <w:rsid w:val="007B7667"/>
    <w:rsid w:val="007F096E"/>
    <w:rsid w:val="008864D4"/>
    <w:rsid w:val="0089273C"/>
    <w:rsid w:val="008A14DE"/>
    <w:rsid w:val="008F0B90"/>
    <w:rsid w:val="009200C7"/>
    <w:rsid w:val="00945E40"/>
    <w:rsid w:val="009A6EEE"/>
    <w:rsid w:val="009F762B"/>
    <w:rsid w:val="00A012BD"/>
    <w:rsid w:val="00A0169E"/>
    <w:rsid w:val="00A30A79"/>
    <w:rsid w:val="00A44F96"/>
    <w:rsid w:val="00A8420A"/>
    <w:rsid w:val="00B2529A"/>
    <w:rsid w:val="00B51B66"/>
    <w:rsid w:val="00B66133"/>
    <w:rsid w:val="00B83E08"/>
    <w:rsid w:val="00B90331"/>
    <w:rsid w:val="00BA07A4"/>
    <w:rsid w:val="00C7375B"/>
    <w:rsid w:val="00C956E0"/>
    <w:rsid w:val="00CF39A2"/>
    <w:rsid w:val="00D15D8D"/>
    <w:rsid w:val="00D27F6F"/>
    <w:rsid w:val="00D32927"/>
    <w:rsid w:val="00D45585"/>
    <w:rsid w:val="00E20F84"/>
    <w:rsid w:val="00E82142"/>
    <w:rsid w:val="00EC4E23"/>
    <w:rsid w:val="00EF5766"/>
    <w:rsid w:val="00F96F33"/>
    <w:rsid w:val="00FA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79DD8"/>
  <w15:chartTrackingRefBased/>
  <w15:docId w15:val="{F6504856-C7EF-4CBE-B75A-C90A7DD7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C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701"/>
  </w:style>
  <w:style w:type="paragraph" w:styleId="Stopka">
    <w:name w:val="footer"/>
    <w:basedOn w:val="Normalny"/>
    <w:link w:val="StopkaZnak"/>
    <w:uiPriority w:val="99"/>
    <w:unhideWhenUsed/>
    <w:rsid w:val="000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701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66133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A0169E"/>
    <w:rPr>
      <w:sz w:val="16"/>
      <w:szCs w:val="16"/>
    </w:rPr>
  </w:style>
  <w:style w:type="paragraph" w:styleId="Tekstkomentarza">
    <w:name w:val="annotation text"/>
    <w:aliases w:val=" Znak Znak Znak Znak1,Znak Znak Znak Znak1"/>
    <w:basedOn w:val="Normalny"/>
    <w:link w:val="TekstkomentarzaZnak"/>
    <w:uiPriority w:val="99"/>
    <w:unhideWhenUsed/>
    <w:rsid w:val="00A0169E"/>
    <w:pPr>
      <w:spacing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komentarzaZnak">
    <w:name w:val="Tekst komentarza Znak"/>
    <w:aliases w:val=" Znak Znak Znak Znak1 Znak,Znak Znak Znak Znak1 Znak"/>
    <w:basedOn w:val="Domylnaczcionkaakapitu"/>
    <w:link w:val="Tekstkomentarza"/>
    <w:uiPriority w:val="99"/>
    <w:rsid w:val="00A0169E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A016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2BD"/>
    <w:rPr>
      <w:rFonts w:asciiTheme="minorHAnsi" w:eastAsiaTheme="minorHAnsi" w:hAnsiTheme="minorHAnsi" w:cstheme="minorBidi"/>
      <w:b/>
      <w:bCs/>
      <w:kern w:val="2"/>
      <w:lang w:val="pl-PL"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2BD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Poprawka">
    <w:name w:val="Revision"/>
    <w:hidden/>
    <w:uiPriority w:val="99"/>
    <w:semiHidden/>
    <w:rsid w:val="00BA0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 KPFR</dc:creator>
  <cp:keywords/>
  <dc:description/>
  <cp:lastModifiedBy>Karolina Sawicka</cp:lastModifiedBy>
  <cp:revision>4</cp:revision>
  <dcterms:created xsi:type="dcterms:W3CDTF">2025-05-06T07:11:00Z</dcterms:created>
  <dcterms:modified xsi:type="dcterms:W3CDTF">2025-09-04T10:09:00Z</dcterms:modified>
</cp:coreProperties>
</file>