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F32355">
        <w:trPr>
          <w:trHeight w:val="1247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Hlk165891525"/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  <w:bookmarkEnd w:id="0"/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F3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F32355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F32355">
        <w:trPr>
          <w:trHeight w:val="567"/>
          <w:jc w:val="center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F32355">
        <w:trPr>
          <w:trHeight w:val="283"/>
          <w:jc w:val="center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jc w:val="center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F32355">
        <w:trPr>
          <w:trHeight w:val="576"/>
          <w:jc w:val="center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F32355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F32355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557355C4" w:rsidR="009277F9" w:rsidRPr="00A03B5D" w:rsidRDefault="001474B7" w:rsidP="001474B7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Kujawsko-Pomorski Fundusz Pożyczkowy Sp. z o.o. , z siedzibą w Toruniu ul. Sienkiewicza 38</w:t>
            </w:r>
          </w:p>
        </w:tc>
      </w:tr>
      <w:tr w:rsidR="009277F9" w:rsidRPr="00A03B5D" w14:paraId="2E5EDF22" w14:textId="77777777" w:rsidTr="00F32355">
        <w:trPr>
          <w:trHeight w:val="283"/>
          <w:jc w:val="center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E547278" w14:textId="77777777" w:rsidR="001474B7" w:rsidRDefault="001474B7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83"/>
      </w:tblGrid>
      <w:tr w:rsidR="001474B7" w:rsidRPr="00A03B5D" w14:paraId="66991F58" w14:textId="77777777" w:rsidTr="00F32355">
        <w:trPr>
          <w:trHeight w:val="576"/>
          <w:jc w:val="center"/>
        </w:trPr>
        <w:tc>
          <w:tcPr>
            <w:tcW w:w="9810" w:type="dxa"/>
            <w:gridSpan w:val="2"/>
            <w:vAlign w:val="center"/>
          </w:tcPr>
          <w:p w14:paraId="284952E9" w14:textId="77777777" w:rsidR="001474B7" w:rsidRPr="001474B7" w:rsidRDefault="001474B7" w:rsidP="001474B7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do pozyskania:</w:t>
            </w:r>
          </w:p>
          <w:p w14:paraId="1FFE832C" w14:textId="77777777" w:rsidR="001474B7" w:rsidRPr="001474B7" w:rsidRDefault="001474B7" w:rsidP="001474B7">
            <w:pPr>
              <w:pStyle w:val="Akapitzlist"/>
              <w:numPr>
                <w:ilvl w:val="0"/>
                <w:numId w:val="5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z Biura Informacji Gospodarczej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przy ul. Zygmunta Modzelewskiego 77a (BIG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1FAF040" w14:textId="77777777" w:rsidR="001474B7" w:rsidRPr="001474B7" w:rsidRDefault="001474B7" w:rsidP="001474B7">
            <w:pPr>
              <w:pStyle w:val="Akapitzlist"/>
              <w:numPr>
                <w:ilvl w:val="0"/>
                <w:numId w:val="6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informacji gospodarczych, które mnie dotyczą, oraz </w:t>
            </w:r>
          </w:p>
          <w:p w14:paraId="12DF82BF" w14:textId="77777777" w:rsidR="001474B7" w:rsidRPr="001474B7" w:rsidRDefault="001474B7" w:rsidP="001474B7">
            <w:pPr>
              <w:pStyle w:val="Akapitzlist"/>
              <w:numPr>
                <w:ilvl w:val="0"/>
                <w:numId w:val="6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informacji o zapytaniach złożonych na mój temat w ostatnich 12 miesiącach oraz</w:t>
            </w:r>
          </w:p>
          <w:p w14:paraId="23A79569" w14:textId="77777777" w:rsidR="001474B7" w:rsidRPr="001474B7" w:rsidRDefault="001474B7" w:rsidP="001474B7">
            <w:pPr>
              <w:pStyle w:val="Akapitzlist"/>
              <w:numPr>
                <w:ilvl w:val="0"/>
                <w:numId w:val="5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z Biura Informacji Kredytowej S.A. (BIK) i Związku Banków Polskich (ZBP) – za pośrednictwem BIG 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BD84B7" w14:textId="6F1B9437" w:rsidR="001474B7" w:rsidRPr="001474B7" w:rsidRDefault="001474B7" w:rsidP="001474B7">
            <w:pPr>
              <w:pStyle w:val="Akapitzlist"/>
              <w:numPr>
                <w:ilvl w:val="0"/>
                <w:numId w:val="7"/>
              </w:num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danych gospodarczych, w tym m.in. oceny punktowej (</w:t>
            </w:r>
            <w:proofErr w:type="spellStart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scoringu</w:t>
            </w:r>
            <w:proofErr w:type="spellEnd"/>
            <w:r w:rsidRPr="001474B7">
              <w:rPr>
                <w:rFonts w:asciiTheme="minorHAnsi" w:hAnsiTheme="minorHAnsi" w:cstheme="minorHAnsi"/>
                <w:sz w:val="18"/>
                <w:szCs w:val="18"/>
              </w:rPr>
              <w:t>), w zakresie niezbędnym do dokonania oceny wiarygodności płatniczej i oceny ryzyka kredytowego.</w:t>
            </w:r>
          </w:p>
        </w:tc>
      </w:tr>
      <w:tr w:rsidR="001474B7" w:rsidRPr="00A03B5D" w14:paraId="2F7C7AC7" w14:textId="77777777" w:rsidTr="00F32355">
        <w:trPr>
          <w:trHeight w:val="283"/>
          <w:jc w:val="center"/>
        </w:trPr>
        <w:tc>
          <w:tcPr>
            <w:tcW w:w="2127" w:type="dxa"/>
            <w:shd w:val="clear" w:color="auto" w:fill="FFFFFF" w:themeFill="background1"/>
          </w:tcPr>
          <w:p w14:paraId="3F9822A6" w14:textId="77777777" w:rsidR="001474B7" w:rsidRPr="00A03B5D" w:rsidRDefault="001474B7" w:rsidP="00991947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shd w:val="clear" w:color="auto" w:fill="FFFFFF" w:themeFill="background1"/>
          </w:tcPr>
          <w:p w14:paraId="4A7617D1" w14:textId="31B2DC99" w:rsidR="001474B7" w:rsidRPr="001100F7" w:rsidRDefault="001474B7" w:rsidP="00991947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</w:tc>
      </w:tr>
    </w:tbl>
    <w:p w14:paraId="5B3407AF" w14:textId="77777777" w:rsidR="001474B7" w:rsidRDefault="001474B7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1474B7">
        <w:trPr>
          <w:trHeight w:val="671"/>
        </w:trPr>
        <w:tc>
          <w:tcPr>
            <w:tcW w:w="3709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1474B7">
        <w:trPr>
          <w:trHeight w:val="377"/>
        </w:trPr>
        <w:tc>
          <w:tcPr>
            <w:tcW w:w="3709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F32355">
        <w:trPr>
          <w:jc w:val="center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jc w:val="center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F32355">
        <w:trPr>
          <w:trHeight w:val="376"/>
          <w:jc w:val="center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F32355">
        <w:trPr>
          <w:jc w:val="center"/>
        </w:trPr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14765038" w:rsidR="009277F9" w:rsidRPr="00BF652C" w:rsidRDefault="001474B7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F32355">
        <w:trPr>
          <w:jc w:val="center"/>
        </w:trPr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BF652C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40CD40BE" w14:textId="70AE4092" w:rsidR="009277F9" w:rsidRPr="00BF652C" w:rsidRDefault="007E0558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BF652C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F32355">
        <w:trPr>
          <w:trHeight w:val="899"/>
          <w:jc w:val="center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3C49A045" w14:textId="6E14CDFF" w:rsidR="009277F9" w:rsidRPr="00BF652C" w:rsidRDefault="007E0558" w:rsidP="007E0558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BF652C">
              <w:rPr>
                <w:rFonts w:asciiTheme="minorHAnsi" w:hAnsiTheme="minorHAnsi" w:cstheme="minorHAnsi"/>
                <w:sz w:val="16"/>
                <w:szCs w:val="16"/>
              </w:rPr>
              <w:t>daneosobowe@kpfp.org.pl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F32355">
        <w:trPr>
          <w:jc w:val="center"/>
        </w:trPr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F32355">
        <w:trPr>
          <w:jc w:val="center"/>
        </w:trPr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0B21DEB2" w:rsidR="009277F9" w:rsidRPr="00343D70" w:rsidRDefault="007E0558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 xml:space="preserve">Kujawsko-Pomorski Fundusz Pożyczkowy </w:t>
            </w:r>
            <w:r w:rsidRPr="00BF652C">
              <w:rPr>
                <w:rFonts w:ascii="Calibri" w:hAnsi="Calibri"/>
                <w:sz w:val="16"/>
                <w:szCs w:val="16"/>
              </w:rPr>
              <w:br/>
              <w:t>Sp. z o.o.</w:t>
            </w:r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="009277F9"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F32355">
        <w:trPr>
          <w:trHeight w:val="2305"/>
          <w:jc w:val="center"/>
        </w:trPr>
        <w:tc>
          <w:tcPr>
            <w:tcW w:w="9778" w:type="dxa"/>
            <w:gridSpan w:val="8"/>
          </w:tcPr>
          <w:p w14:paraId="421F0C26" w14:textId="6EF27070" w:rsidR="009277F9" w:rsidRPr="00343D70" w:rsidRDefault="007E0558" w:rsidP="007E0558">
            <w:pPr>
              <w:pStyle w:val="Bezodstpw"/>
              <w:numPr>
                <w:ilvl w:val="0"/>
                <w:numId w:val="3"/>
              </w:numPr>
              <w:ind w:left="316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BF652C">
              <w:rPr>
                <w:rFonts w:ascii="Calibri" w:hAnsi="Calibri"/>
                <w:sz w:val="16"/>
                <w:szCs w:val="16"/>
              </w:rPr>
              <w:t>Kujawsko-Pomorski Fundusz Pożyczkowy Sp. z o.o.</w:t>
            </w:r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, BIG </w:t>
            </w:r>
            <w:proofErr w:type="spellStart"/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="009277F9"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</w:t>
            </w:r>
            <w:r w:rsidR="009277F9"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  <w:p w14:paraId="3C21E22D" w14:textId="0D46B6A4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</w:t>
            </w:r>
            <w:r w:rsidR="001A0976" w:rsidRPr="00BF652C">
              <w:rPr>
                <w:rFonts w:ascii="Calibri" w:hAnsi="Calibri"/>
                <w:sz w:val="16"/>
                <w:szCs w:val="16"/>
              </w:rPr>
              <w:t>Kujawsko-Pomorskiego Funduszu Pożyczkowego Sp. z o.o.</w:t>
            </w:r>
            <w:r w:rsidRPr="00BF652C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38C0" w14:textId="77777777" w:rsidR="00472A0E" w:rsidRDefault="00472A0E" w:rsidP="009277F9">
      <w:r>
        <w:separator/>
      </w:r>
    </w:p>
  </w:endnote>
  <w:endnote w:type="continuationSeparator" w:id="0">
    <w:p w14:paraId="59998FFC" w14:textId="77777777" w:rsidR="00472A0E" w:rsidRDefault="00472A0E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FCD0" w14:textId="77777777" w:rsidR="00472A0E" w:rsidRDefault="00472A0E" w:rsidP="009277F9">
      <w:r>
        <w:separator/>
      </w:r>
    </w:p>
  </w:footnote>
  <w:footnote w:type="continuationSeparator" w:id="0">
    <w:p w14:paraId="3129E3B0" w14:textId="77777777" w:rsidR="00472A0E" w:rsidRDefault="00472A0E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163" w14:textId="4D098FBD" w:rsidR="009277F9" w:rsidRPr="001474B7" w:rsidRDefault="001474B7" w:rsidP="001474B7">
    <w:pPr>
      <w:suppressAutoHyphens/>
      <w:spacing w:after="120"/>
      <w:jc w:val="right"/>
      <w:rPr>
        <w:rFonts w:asciiTheme="minorHAnsi" w:hAnsiTheme="minorHAnsi" w:cs="Arial"/>
        <w:i/>
        <w:sz w:val="18"/>
        <w:szCs w:val="18"/>
      </w:rPr>
    </w:pPr>
    <w:r w:rsidRPr="000C057B">
      <w:rPr>
        <w:rFonts w:asciiTheme="minorHAnsi" w:hAnsiTheme="minorHAnsi" w:cs="Arial"/>
        <w:i/>
        <w:sz w:val="18"/>
        <w:szCs w:val="18"/>
      </w:rPr>
      <w:t xml:space="preserve">Załącznik nr </w:t>
    </w:r>
    <w:r>
      <w:rPr>
        <w:rFonts w:asciiTheme="minorHAnsi" w:hAnsiTheme="minorHAnsi" w:cs="Arial"/>
        <w:i/>
        <w:sz w:val="18"/>
        <w:szCs w:val="18"/>
      </w:rPr>
      <w:t>3</w:t>
    </w:r>
    <w:r w:rsidRPr="000C057B">
      <w:rPr>
        <w:rFonts w:asciiTheme="minorHAnsi" w:hAnsiTheme="minorHAnsi" w:cs="Arial"/>
        <w:i/>
        <w:sz w:val="18"/>
        <w:szCs w:val="18"/>
      </w:rPr>
      <w:t xml:space="preserve"> do wniosku o </w:t>
    </w:r>
    <w:proofErr w:type="spellStart"/>
    <w:r w:rsidR="0015381F" w:rsidRPr="0015381F">
      <w:rPr>
        <w:rFonts w:asciiTheme="minorHAnsi" w:hAnsiTheme="minorHAnsi" w:cs="Arial"/>
        <w:i/>
        <w:sz w:val="18"/>
        <w:szCs w:val="18"/>
      </w:rPr>
      <w:t>Ekopożyczk</w:t>
    </w:r>
    <w:r w:rsidR="0015381F">
      <w:rPr>
        <w:rFonts w:asciiTheme="minorHAnsi" w:hAnsiTheme="minorHAnsi" w:cs="Arial"/>
        <w:i/>
        <w:sz w:val="18"/>
        <w:szCs w:val="18"/>
      </w:rPr>
      <w:t>ę</w:t>
    </w:r>
    <w:proofErr w:type="spellEnd"/>
    <w:r w:rsidR="0015381F" w:rsidRPr="0015381F">
      <w:rPr>
        <w:rFonts w:asciiTheme="minorHAnsi" w:hAnsiTheme="minorHAnsi" w:cs="Arial"/>
        <w:i/>
        <w:sz w:val="18"/>
        <w:szCs w:val="18"/>
      </w:rPr>
      <w:t xml:space="preserve"> z premią dla przedsiębiorstw – transformacja w kierunku GOZ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1674C33"/>
    <w:multiLevelType w:val="hybridMultilevel"/>
    <w:tmpl w:val="06D2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52296E"/>
    <w:multiLevelType w:val="hybridMultilevel"/>
    <w:tmpl w:val="586A6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512B2"/>
    <w:multiLevelType w:val="hybridMultilevel"/>
    <w:tmpl w:val="20A48A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3"/>
  </w:num>
  <w:num w:numId="3" w16cid:durableId="775832346">
    <w:abstractNumId w:val="6"/>
  </w:num>
  <w:num w:numId="4" w16cid:durableId="47346040">
    <w:abstractNumId w:val="1"/>
  </w:num>
  <w:num w:numId="5" w16cid:durableId="705058219">
    <w:abstractNumId w:val="5"/>
  </w:num>
  <w:num w:numId="6" w16cid:durableId="1724713225">
    <w:abstractNumId w:val="4"/>
  </w:num>
  <w:num w:numId="7" w16cid:durableId="72483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0344A2"/>
    <w:rsid w:val="00102484"/>
    <w:rsid w:val="001474B7"/>
    <w:rsid w:val="0015381F"/>
    <w:rsid w:val="001A0976"/>
    <w:rsid w:val="001B2B22"/>
    <w:rsid w:val="002920E2"/>
    <w:rsid w:val="002E171D"/>
    <w:rsid w:val="003D66DB"/>
    <w:rsid w:val="00472A0E"/>
    <w:rsid w:val="00515BDF"/>
    <w:rsid w:val="006D52B1"/>
    <w:rsid w:val="007E0558"/>
    <w:rsid w:val="00893F57"/>
    <w:rsid w:val="008969B2"/>
    <w:rsid w:val="008B566F"/>
    <w:rsid w:val="009277F9"/>
    <w:rsid w:val="00AD73C7"/>
    <w:rsid w:val="00B516D9"/>
    <w:rsid w:val="00BC3ED6"/>
    <w:rsid w:val="00BF652C"/>
    <w:rsid w:val="00CC4DE3"/>
    <w:rsid w:val="00D84024"/>
    <w:rsid w:val="00DC10F9"/>
    <w:rsid w:val="00F32355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Piotr Rybiński</cp:lastModifiedBy>
  <cp:revision>10</cp:revision>
  <cp:lastPrinted>2023-03-09T13:55:00Z</cp:lastPrinted>
  <dcterms:created xsi:type="dcterms:W3CDTF">2024-05-06T10:52:00Z</dcterms:created>
  <dcterms:modified xsi:type="dcterms:W3CDTF">2026-04-08T09:35:00Z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